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Отчет кафедры неврологии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нейрохирургии и медицинской генетики за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квартал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2021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tbl>
      <w:tblPr>
        <w:tblW w:w="109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408"/>
        <w:gridCol w:w="2640"/>
        <w:gridCol w:w="4940"/>
      </w:tblGrid>
      <w:tr>
        <w:tblPrEx>
          <w:shd w:val="clear" w:color="auto" w:fill="d0ddef"/>
        </w:tblPrEx>
        <w:trPr>
          <w:trHeight w:val="4200" w:hRule="atLeast"/>
        </w:trPr>
        <w:tc>
          <w:tcPr>
            <w:tcW w:type="dxa" w:w="340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Список изданных трудов сотрудниками кафедры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III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квартал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все публикации дублируются в научную библиотеку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Статьи ВАК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 всеми выходными данными по ГОСТ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импакт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фактор журнала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где опубликована статья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цитируемость статьи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ссылка на статью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; DOI;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  <w:jc w:val="left"/>
              <w:rPr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Якупов Э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З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., 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Жамиева Р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Субъективные когнитивные нарушения — вопросов больше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чем ответов 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// 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Неврологический вестник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 2021; 2: 71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80. DOI: 10.17816/nb71485</w:t>
            </w:r>
          </w:p>
          <w:p>
            <w:pPr>
              <w:pStyle w:val="Normal.0"/>
              <w:tabs>
                <w:tab w:val="left" w:pos="993"/>
              </w:tabs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Хафизова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Галявиева 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Глазная форма миастении — клиническая диагностика и терапия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//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Неврологический вестник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 2021; 2: 81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87. DOI: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10.17816/nb65373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Трепалина 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Якупов Э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Виртуальная реальность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новые возможности в лечении боли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Неврологический вестник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 2021; 2: 88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87. DOI: 10.17816/nb71266 </w:t>
              <w:tab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Двухлетний ИФ РИНЦ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= 0,394</w:t>
            </w:r>
          </w:p>
        </w:tc>
      </w:tr>
      <w:tr>
        <w:tblPrEx>
          <w:shd w:val="clear" w:color="auto" w:fill="d0ddef"/>
        </w:tblPrEx>
        <w:trPr>
          <w:trHeight w:val="2400" w:hRule="atLeast"/>
        </w:trPr>
        <w:tc>
          <w:tcPr>
            <w:tcW w:type="dxa" w:w="3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Зарубежные статьи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 всеми выходными данными по ГОСТ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импакт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фактор журнала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где опубликована статья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цитируемость статьи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ссылка на статью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; DOI;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Статьи 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00" w:hRule="atLeast"/>
        </w:trPr>
        <w:tc>
          <w:tcPr>
            <w:tcW w:type="dxa" w:w="3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 всеми выходными данными по ГОСТ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импакт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фактор журнала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где опубликована статья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цитируемость статьи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ссылка на статью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; DOI;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00" w:hRule="atLeast"/>
        </w:trPr>
        <w:tc>
          <w:tcPr>
            <w:tcW w:type="dxa" w:w="3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Scince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 WoK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 всеми выходными данными по ГОСТ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импакт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фактор журнала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где опубликована статья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цитируемость статьи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ссылка на статью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; DOI;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00" w:hRule="atLeast"/>
        </w:trPr>
        <w:tc>
          <w:tcPr>
            <w:tcW w:type="dxa" w:w="3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Изданные монографии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 выходными данными по ГОСТ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),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всех авторов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название монографии полное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без сокращений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год выпуска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тираж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УПЛ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количество страниц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издательство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3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Тезисы конференций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 указанием статуса конференции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Участие в конференции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 указанием статуса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названия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города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качестве  кого принимали участие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количество участников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III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квартал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года 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Проведенные конференции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силами кафедры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 xml:space="preserve">с предоставлением программы и отчета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см образец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квартал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2021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программы конференций и сборники предоставлять оригиналы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 ФОТО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 ВИДЕОТЧЕТОМ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300" w:hRule="atLeast"/>
        </w:trPr>
        <w:tc>
          <w:tcPr>
            <w:tcW w:type="dxa" w:w="340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III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квартал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 xml:space="preserve">с предоставлением автореферата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оригинала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кандидатские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100" w:after="100"/>
              <w:ind w:firstLine="0"/>
              <w:jc w:val="left"/>
              <w:rPr>
                <w:rFonts w:ascii="Times New Roman" w:cs="Times New Roman" w:hAnsi="Times New Roman" w:eastAsia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Казанцев А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.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Ю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«Клинические характеристики вестибулярных нарушений и оценка уровня витамина 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D 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у пациентов с доброкачественным пароксизмальным позиционным головокружением» по специальности 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3.1.24. 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Научный руководитель Якупов Э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З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Дата защиты – 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14.09. 2021</w:t>
            </w:r>
          </w:p>
          <w:p>
            <w:pPr>
              <w:pStyle w:val="Normal.0"/>
              <w:shd w:val="clear" w:color="auto" w:fill="ffffff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 Мардиев А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.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А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«Клинико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-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нейрофизиологическая оценка нарушений сна и их влияние на медико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-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социальные особенности качества жизни водителей» по специальности 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3.1.24. </w:t>
            </w:r>
            <w:r>
              <w:rPr>
                <w:rFonts w:ascii="Times New Roman" w:hAnsi="Times New Roman" w:hint="default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Неврология</w:t>
            </w:r>
            <w:r>
              <w:rPr>
                <w:rFonts w:ascii="Times New Roman" w:hAnsi="Times New Roman"/>
                <w:outline w:val="0"/>
                <w:color w:val="333333"/>
                <w:sz w:val="24"/>
                <w:szCs w:val="24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Научный руководитель Якупов Э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Дата защиты 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14.09. 2021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докторские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Гранты с указанием № гранта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инвестора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названия гранта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руководителя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сумма гранта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№ РК за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III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квартал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 указанием ссылки на указ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постановление и тд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Заявки на гранты с указанием № заявки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инвестора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названия гранта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руководителя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сумма подаваемой заявки за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квартал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Межкластерное взаимодействие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участие в конференциях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проведение совместных научно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практических  мероприятий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научная работа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гранты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кластер входят ИжГМА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ПИМУ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КирГМА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ПермГМУ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Ульяновский ГУ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КГМА за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III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кв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 2021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Другие награды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заслуженный деятель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какие либо медали и тд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достижения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победители конкурсов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олимпиад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различного уровня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 другие достижения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награды кафедры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сотрудников кафедр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III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квартал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10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Заключенные договора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соглашения о научном сотрудничестве с регионами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организациями и другими учреждениями как на территории Российской Федерации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так и за пределами Российской Федерации за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III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кв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 предоставлением копии договора в электронном и бумажном вариантах с подписями и печатями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Научные работы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которые ведутся по заказам различных организаций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 РТ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 РФ и за рубежом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III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кв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заказчик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название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краткое описание заказа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сроки реализации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стоимость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 предоставлением договора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соглашения на проведение работ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30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Участвуют сотрудники Вашей кафедры в ред коллегии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консультативные советы журналов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каких и до какого срока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статус журнала указать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left="48" w:firstLine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Якупов  Э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‒ заместитель главного редактора журнала «Неврологический вестник»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Член редколлегии Журнала неврологии и психиатрии им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Корсакова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Член редколлегии газеты «Невроньюс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Новости неврологии»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Гайнетдинова Д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–Член редколлегии и редакционного совета «Детская реабилитация»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 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редактор ТТ Батышева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);</w: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lang w:val="ru-RU"/>
                <w14:textFill>
                  <w14:solidFill>
                    <w14:srgbClr w14:val="000000"/>
                  </w14:solidFill>
                </w14:textFill>
              </w:rPr>
              <w:instrText xml:space="preserve"> HYPERLINK "https://www.elibrary.ru/title_about.asp?id=74710"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https://www.elibrary.ru/title_about.asp?id=74710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Сотрудники кафедры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d0ddef"/>
        </w:tblPrEx>
        <w:trPr>
          <w:trHeight w:val="3000" w:hRule="atLeast"/>
        </w:trPr>
        <w:tc>
          <w:tcPr>
            <w:tcW w:type="dxa" w:w="60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ind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Являются ли сотрудники кафедры членами Диссертационного совета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указать номер диссовета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название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 какой специальности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ВУЗ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качестве кого входит в состав диссовета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председатель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председателя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секретарь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член совета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))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after="0" w:line="285" w:lineRule="atLeast"/>
              <w:ind w:firstLine="48"/>
              <w:outlineLvl w:val="2"/>
              <w:rPr>
                <w:rFonts w:ascii="Times New Roman" w:cs="Times New Roman" w:hAnsi="Times New Roman" w:eastAsia="Times New Roman"/>
                <w:caps w:val="1"/>
                <w:outline w:val="0"/>
                <w:color w:val="117b00"/>
                <w:sz w:val="24"/>
                <w:szCs w:val="24"/>
                <w:u w:color="117b00"/>
                <w:shd w:val="nil" w:color="auto" w:fill="auto"/>
                <w14:textFill>
                  <w14:solidFill>
                    <w14:srgbClr w14:val="117B00"/>
                  </w14:solidFill>
                </w14:textFill>
              </w:rPr>
            </w:pPr>
            <w:r>
              <w:rPr>
                <w:rFonts w:ascii="Times New Roman" w:hAnsi="Times New Roman" w:hint="default"/>
                <w:b w:val="1"/>
                <w:bCs w:val="1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Гайнетдинова Д</w:t>
            </w: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Д</w:t>
            </w:r>
            <w:r>
              <w:rPr>
                <w:rFonts w:ascii="Times New Roman" w:hAnsi="Times New Roman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– член объединенного диссертационного совета </w:t>
            </w:r>
            <w:r>
              <w:rPr>
                <w:rFonts w:ascii="Times New Roman" w:hAnsi="Times New Roman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hAnsi="Times New Roman" w:hint="default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ФГБОУ ВО К</w:t>
            </w:r>
            <w:r>
              <w:rPr>
                <w:rFonts w:ascii="Times New Roman" w:hAnsi="Times New Roman" w:hint="default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азанский</w:t>
            </w:r>
            <w:r>
              <w:rPr>
                <w:rFonts w:ascii="Times New Roman" w:hAnsi="Times New Roman" w:hint="default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ГМУ </w:t>
            </w:r>
            <w:r>
              <w:rPr>
                <w:rFonts w:ascii="Times New Roman" w:hAnsi="Times New Roman" w:hint="default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Минздрава России и</w:t>
            </w:r>
            <w:r>
              <w:rPr>
                <w:rFonts w:ascii="Times New Roman" w:hAnsi="Times New Roman" w:hint="default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ФГБОУ ВО </w:t>
            </w:r>
            <w:r>
              <w:rPr>
                <w:rFonts w:ascii="Times New Roman" w:hAnsi="Times New Roman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"</w:t>
            </w:r>
            <w:r>
              <w:rPr>
                <w:rFonts w:ascii="Times New Roman" w:hAnsi="Times New Roman" w:hint="default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ПИМУ</w:t>
            </w:r>
            <w:r>
              <w:rPr>
                <w:rFonts w:ascii="Times New Roman" w:hAnsi="Times New Roman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" </w:t>
            </w:r>
            <w:r>
              <w:rPr>
                <w:rFonts w:ascii="Times New Roman" w:hAnsi="Times New Roman" w:hint="default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Минздрава России</w:t>
            </w:r>
            <w:r>
              <w:rPr>
                <w:rFonts w:ascii="Times New Roman" w:hAnsi="Times New Roman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)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999.190.02</w:t>
            </w:r>
          </w:p>
          <w:p>
            <w:pPr>
              <w:pStyle w:val="Normal.0"/>
              <w:shd w:val="clear" w:color="auto" w:fill="ffffff"/>
              <w:bidi w:val="0"/>
              <w:spacing w:after="0" w:line="285" w:lineRule="atLeast"/>
              <w:ind w:left="0" w:right="0" w:firstLine="48"/>
              <w:jc w:val="both"/>
              <w:outlineLvl w:val="2"/>
              <w:rPr>
                <w:rFonts w:ascii="Times New Roman" w:cs="Times New Roman" w:hAnsi="Times New Roman" w:eastAsia="Times New Roman"/>
                <w:caps w:val="1"/>
                <w:outline w:val="0"/>
                <w:color w:val="117b00"/>
                <w:sz w:val="24"/>
                <w:szCs w:val="24"/>
                <w:u w:color="117b00"/>
                <w:shd w:val="nil" w:color="auto" w:fill="auto"/>
                <w:rtl w:val="0"/>
                <w14:textFill>
                  <w14:solidFill>
                    <w14:srgbClr w14:val="117B00"/>
                  </w14:solidFill>
                </w14:textFill>
              </w:rPr>
            </w:pPr>
            <w:r>
              <w:rPr>
                <w:rFonts w:ascii="Times New Roman" w:hAnsi="Times New Roman" w:hint="default"/>
                <w:b w:val="1"/>
                <w:bCs w:val="1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Якупов Э</w:t>
            </w: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З</w:t>
            </w: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hAnsi="Times New Roman" w:hint="default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–  член объединенного диссертационного совета </w:t>
            </w:r>
            <w:r>
              <w:rPr>
                <w:rFonts w:ascii="Times New Roman" w:hAnsi="Times New Roman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hAnsi="Times New Roman" w:hint="default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ФГБОУ ВО К</w:t>
            </w:r>
            <w:r>
              <w:rPr>
                <w:rFonts w:ascii="Times New Roman" w:hAnsi="Times New Roman" w:hint="default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азанский</w:t>
            </w:r>
            <w:r>
              <w:rPr>
                <w:rFonts w:ascii="Times New Roman" w:hAnsi="Times New Roman" w:hint="default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ГМУ </w:t>
            </w:r>
            <w:r>
              <w:rPr>
                <w:rFonts w:ascii="Times New Roman" w:hAnsi="Times New Roman" w:hint="default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Минздрава России и</w:t>
            </w:r>
            <w:r>
              <w:rPr>
                <w:rFonts w:ascii="Times New Roman" w:hAnsi="Times New Roman" w:hint="default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ФГБОУ ВО </w:t>
            </w:r>
            <w:r>
              <w:rPr>
                <w:rFonts w:ascii="Times New Roman" w:hAnsi="Times New Roman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"</w:t>
            </w:r>
            <w:r>
              <w:rPr>
                <w:rFonts w:ascii="Times New Roman" w:hAnsi="Times New Roman" w:hint="default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ПИМУ</w:t>
            </w:r>
            <w:r>
              <w:rPr>
                <w:rFonts w:ascii="Times New Roman" w:hAnsi="Times New Roman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" </w:t>
            </w:r>
            <w:r>
              <w:rPr>
                <w:rFonts w:ascii="Times New Roman" w:hAnsi="Times New Roman" w:hint="default"/>
                <w:caps w:val="0"/>
                <w:smallCap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Минздрава России</w:t>
            </w:r>
            <w:r>
              <w:rPr>
                <w:rFonts w:ascii="Times New Roman" w:hAnsi="Times New Roman"/>
                <w:cap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)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999.190.02</w:t>
            </w:r>
          </w:p>
        </w:tc>
      </w:tr>
    </w:tbl>
    <w:p>
      <w:pPr>
        <w:pStyle w:val="Normal.0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567" w:right="567" w:bottom="567" w:left="56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709"/>
      <w:jc w:val="both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outline w:val="0"/>
      <w:color w:val="000000"/>
      <w:u w:color="000000"/>
      <w:shd w:val="nil" w:color="auto" w:fill="auto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